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929AF" w14:textId="77777777" w:rsidR="000C4DDF" w:rsidRDefault="000C4DDF">
      <w:bookmarkStart w:id="0" w:name="_2lklk0hwlv7r" w:colFirst="0" w:colLast="0"/>
      <w:bookmarkEnd w:id="0"/>
    </w:p>
    <w:p w14:paraId="7450E887" w14:textId="77777777" w:rsidR="000C4DDF" w:rsidRDefault="00000000">
      <w:pPr>
        <w:spacing w:line="24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REBUILD 2024: SI AVVICINA L’APPUNTAMENTO CON L’EVENTO CHE DA 10 EDIZIONI ANTICIPA I TREND DEL REAL ESTATE</w:t>
      </w:r>
    </w:p>
    <w:p w14:paraId="5EF56798" w14:textId="77777777" w:rsidR="000C4DDF" w:rsidRDefault="000C4DDF">
      <w:pPr>
        <w:spacing w:line="276" w:lineRule="auto"/>
        <w:rPr>
          <w:rFonts w:ascii="Arial" w:eastAsia="Arial" w:hAnsi="Arial" w:cs="Arial"/>
          <w:b/>
          <w:sz w:val="26"/>
          <w:szCs w:val="26"/>
        </w:rPr>
      </w:pPr>
    </w:p>
    <w:p w14:paraId="0794296F" w14:textId="77777777" w:rsidR="000C4DDF" w:rsidRDefault="00000000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Come attuare la direttiva europea ‘case green’ in Italia? 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REbuild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la presentazione di un nuovo modello per la transizione del settore edile che mette a sistema strategie politiche, leve finanziarie e innovazione tecnologica.</w:t>
      </w:r>
      <w:r>
        <w:rPr>
          <w:rFonts w:ascii="Arial" w:eastAsia="Arial" w:hAnsi="Arial" w:cs="Arial"/>
          <w:b/>
          <w:sz w:val="28"/>
          <w:szCs w:val="28"/>
          <w:highlight w:val="white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Convegni, workshop tematici, incontri con i protagonisti del sistema immobiliare internazionale e delle aziende leader di settore, al Centro Congressi di Riva del Garda il 14 e il 15 maggio.</w:t>
      </w:r>
    </w:p>
    <w:p w14:paraId="5A063A6D" w14:textId="77777777" w:rsidR="000C4DDF" w:rsidRDefault="00000000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A599A22" w14:textId="77777777" w:rsidR="005B6531" w:rsidRDefault="00000000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Tracciare nuove rotte, presentare soluzioni tangibili e illustrare ciò che è necessario, ciò che è già realizzabile e ciò che sarà possibile fare per sfruttare appieno le opportunità della transizione in corso. Con i fari puntati su esperienze pilota, case history consolidate e nuove frontiere di ricerca, come quella spaziale. Sono questi gli obiettivi della</w:t>
      </w:r>
      <w:r>
        <w:rPr>
          <w:rFonts w:ascii="Arial" w:eastAsia="Arial" w:hAnsi="Arial" w:cs="Arial"/>
          <w:b/>
          <w:sz w:val="24"/>
          <w:szCs w:val="24"/>
        </w:rPr>
        <w:t xml:space="preserve"> decima edizione di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REbuild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il primo evento italiano dedicato all'innovazione sostenibile dell'ambiente costruito, organizzato da </w:t>
      </w:r>
      <w:r>
        <w:rPr>
          <w:rFonts w:ascii="Arial" w:eastAsia="Arial" w:hAnsi="Arial" w:cs="Arial"/>
          <w:b/>
          <w:sz w:val="24"/>
          <w:szCs w:val="24"/>
        </w:rPr>
        <w:t xml:space="preserve">Riva del Garda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Fierecongressi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in programma il </w:t>
      </w:r>
      <w:r>
        <w:rPr>
          <w:rFonts w:ascii="Arial" w:eastAsia="Arial" w:hAnsi="Arial" w:cs="Arial"/>
          <w:b/>
          <w:sz w:val="24"/>
          <w:szCs w:val="24"/>
        </w:rPr>
        <w:t>14 e 15 maggio</w:t>
      </w:r>
      <w:r>
        <w:rPr>
          <w:rFonts w:ascii="Arial" w:eastAsia="Arial" w:hAnsi="Arial" w:cs="Arial"/>
          <w:sz w:val="24"/>
          <w:szCs w:val="24"/>
        </w:rPr>
        <w:t xml:space="preserve"> presso il </w:t>
      </w:r>
      <w:r>
        <w:rPr>
          <w:rFonts w:ascii="Arial" w:eastAsia="Arial" w:hAnsi="Arial" w:cs="Arial"/>
          <w:b/>
          <w:sz w:val="24"/>
          <w:szCs w:val="24"/>
        </w:rPr>
        <w:t>Centro Congressi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3BFC3CCB" w14:textId="6A7AD654" w:rsidR="000C4DDF" w:rsidRDefault="00000000">
      <w:pPr>
        <w:spacing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>“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Values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drive Value</w:t>
      </w:r>
      <w:r>
        <w:rPr>
          <w:rFonts w:ascii="Arial" w:eastAsia="Arial" w:hAnsi="Arial" w:cs="Arial"/>
          <w:sz w:val="24"/>
          <w:szCs w:val="24"/>
        </w:rPr>
        <w:t xml:space="preserve">”, il valore genera valore: è il tema della manifestazione che offrirà agli stakeholder del mondo dell’edilizia nazionale una nuova importante opportunità di confronto </w:t>
      </w:r>
      <w:r>
        <w:rPr>
          <w:rFonts w:ascii="Arial" w:eastAsia="Arial" w:hAnsi="Arial" w:cs="Arial"/>
          <w:sz w:val="24"/>
          <w:szCs w:val="24"/>
          <w:highlight w:val="white"/>
        </w:rPr>
        <w:t>e discussione.</w:t>
      </w:r>
    </w:p>
    <w:p w14:paraId="56B4FF60" w14:textId="77777777" w:rsidR="000C4DDF" w:rsidRDefault="00000000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16 conferenze, 8 workshop </w:t>
      </w:r>
      <w:r>
        <w:rPr>
          <w:rFonts w:ascii="Arial" w:eastAsia="Arial" w:hAnsi="Arial" w:cs="Arial"/>
          <w:b/>
          <w:sz w:val="24"/>
          <w:szCs w:val="24"/>
        </w:rPr>
        <w:t>e oltre 60 speaker di rilievo internazionale</w:t>
      </w:r>
      <w:r>
        <w:rPr>
          <w:rFonts w:ascii="Arial" w:eastAsia="Arial" w:hAnsi="Arial" w:cs="Arial"/>
          <w:sz w:val="24"/>
          <w:szCs w:val="24"/>
        </w:rPr>
        <w:t>, un ricco programma che mette in gioco un solido impianto valoriale. “</w:t>
      </w:r>
      <w:proofErr w:type="spellStart"/>
      <w:r>
        <w:rPr>
          <w:rFonts w:ascii="Arial" w:eastAsia="Arial" w:hAnsi="Arial" w:cs="Arial"/>
          <w:sz w:val="24"/>
          <w:szCs w:val="24"/>
        </w:rPr>
        <w:t>Values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drive </w:t>
      </w:r>
      <w:proofErr w:type="spellStart"/>
      <w:r>
        <w:rPr>
          <w:rFonts w:ascii="Arial" w:eastAsia="Arial" w:hAnsi="Arial" w:cs="Arial"/>
          <w:sz w:val="24"/>
          <w:szCs w:val="24"/>
        </w:rPr>
        <w:t>value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porta con sé un messaggio potente, preciso e mirato: dare spazio ai valori che generano valore – spiega </w:t>
      </w:r>
      <w:r>
        <w:rPr>
          <w:rFonts w:ascii="Arial" w:eastAsia="Arial" w:hAnsi="Arial" w:cs="Arial"/>
          <w:b/>
          <w:sz w:val="24"/>
          <w:szCs w:val="24"/>
        </w:rPr>
        <w:t xml:space="preserve">Alessandra Albarelli, Direttrice Generale di Riva del Garda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Fierecongressi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perché gli stakeholder del settore immobiliare possano convergere verso l’obiettivo comune di generare e tutelare ricchezza patrimoniale, promuovere l’inclusività sociale, il benessere delle persone e l’attenzione all’ambiente”.</w:t>
      </w:r>
    </w:p>
    <w:p w14:paraId="78B5F896" w14:textId="77777777" w:rsidR="000C4DDF" w:rsidRDefault="00000000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L’intera filiera delle costruzioni si trova ad affrontare alcune sfide senza precedenti: occorre un allineamento del comparto ai valori della contemporaneità, dove le tematiche su clima, sostenibilità, green, riciclo e decarbonizzazione siano al centro di un sentimento collettivo che in questi concetti vede opportunità di crescita, sviluppo e benessere condiviso. L’adesione a questi valori comporta un cambio del modello di business culturale e tecnico, nella direzione dell’industrializzazione del settore, tanto per le nuove realizzazioni, quanto per gli interventi sul patrimonio esistente, e dell’apertura a innovazione, formazione, ricerca, tecnologia e nuove declinazioni professionali. </w:t>
      </w:r>
    </w:p>
    <w:p w14:paraId="780E9637" w14:textId="77777777" w:rsidR="000C4DDF" w:rsidRDefault="00000000">
      <w:pPr>
        <w:pBdr>
          <w:bottom w:val="none" w:sz="0" w:space="12" w:color="auto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“Quello di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REbuild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è un taccuino di incontri multidisciplinari e politematici e un parterre espositivo che affronta i temi più caldi del futuro prossimo delle filiere del comparto - </w:t>
      </w: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 xml:space="preserve">commenta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Laura Risatti, Project Leader di </w:t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REbuild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- Esperienze e proiezioni, energia e ambiente, tecnica e tecnologia, innovazione e nuovi modelli di business, finanza, economia, comunità, territori: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REbuild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torna, e lo fa da protagonista, per offrire mappe e strumenti, ricerche e testimonianze significative e replicabili sul futuro dell’ambiente costruito”.</w:t>
      </w:r>
    </w:p>
    <w:p w14:paraId="62A5A268" w14:textId="77777777" w:rsidR="000C4DDF" w:rsidRDefault="00000000">
      <w:pPr>
        <w:pBdr>
          <w:bottom w:val="none" w:sz="0" w:space="12" w:color="auto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Il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Trentino si porrà come protagonista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, con la partecipazione di aziende del settore, associazioni di categoria e istituti di ricerca nell'offrire contenuti di rilievo per il dibattito nazionale. </w:t>
      </w:r>
    </w:p>
    <w:p w14:paraId="07545550" w14:textId="77777777" w:rsidR="000C4DDF" w:rsidRDefault="000C4DDF">
      <w:pPr>
        <w:pBdr>
          <w:bottom w:val="none" w:sz="0" w:space="12" w:color="auto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49599642" w14:textId="77777777" w:rsidR="000C4DDF" w:rsidRDefault="00000000">
      <w:pPr>
        <w:pBdr>
          <w:bottom w:val="none" w:sz="0" w:space="12" w:color="auto"/>
        </w:pBdr>
        <w:shd w:val="clear" w:color="auto" w:fill="FFFFFF"/>
        <w:spacing w:before="240"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Bonus e ‘case green’</w:t>
      </w:r>
    </w:p>
    <w:p w14:paraId="0CE644A9" w14:textId="77777777" w:rsidR="000C4DDF" w:rsidRDefault="00000000">
      <w:pPr>
        <w:pBdr>
          <w:bottom w:val="none" w:sz="0" w:space="12" w:color="auto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Uno studio che sarà presentato a Riva del Garda conferma: prendendo ad esempio il modello d’intervento di deep retrofit di </w:t>
      </w:r>
      <w:proofErr w:type="spellStart"/>
      <w:r>
        <w:rPr>
          <w:rFonts w:ascii="Arial" w:eastAsia="Arial" w:hAnsi="Arial" w:cs="Arial"/>
          <w:sz w:val="24"/>
          <w:szCs w:val="24"/>
        </w:rPr>
        <w:t>Energiesprong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presentata in Italia proprio a </w:t>
      </w:r>
      <w:proofErr w:type="spellStart"/>
      <w:r>
        <w:rPr>
          <w:rFonts w:ascii="Arial" w:eastAsia="Arial" w:hAnsi="Arial" w:cs="Arial"/>
          <w:sz w:val="24"/>
          <w:szCs w:val="24"/>
        </w:rPr>
        <w:t>REbuild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nel 2017 e vincitrice quest’anno del prestigioso Gold World Habitat Award, ne è stata fatta una valutazione della sostenibilità economica in nove città-campione italiane (</w:t>
      </w:r>
      <w:r>
        <w:rPr>
          <w:rFonts w:ascii="Arial" w:eastAsia="Arial" w:hAnsi="Arial" w:cs="Arial"/>
          <w:b/>
          <w:sz w:val="24"/>
          <w:szCs w:val="24"/>
        </w:rPr>
        <w:t>Milano, Torino, Firenze, Padova, Mestre, Bergamo, Bologna, Udine, Trieste</w:t>
      </w:r>
      <w:r>
        <w:rPr>
          <w:rFonts w:ascii="Arial" w:eastAsia="Arial" w:hAnsi="Arial" w:cs="Arial"/>
          <w:sz w:val="24"/>
          <w:szCs w:val="24"/>
        </w:rPr>
        <w:t xml:space="preserve">) per verificarne la fattibilità considerando </w:t>
      </w:r>
      <w:r>
        <w:rPr>
          <w:rFonts w:ascii="Arial" w:eastAsia="Arial" w:hAnsi="Arial" w:cs="Arial"/>
          <w:b/>
          <w:sz w:val="24"/>
          <w:szCs w:val="24"/>
        </w:rPr>
        <w:t>costi e benefici</w:t>
      </w:r>
      <w:r>
        <w:rPr>
          <w:rFonts w:ascii="Arial" w:eastAsia="Arial" w:hAnsi="Arial" w:cs="Arial"/>
          <w:sz w:val="24"/>
          <w:szCs w:val="24"/>
        </w:rPr>
        <w:t xml:space="preserve"> definiti dal mercato attuale unitamente al calcolo dell’eventuale </w:t>
      </w:r>
      <w:r>
        <w:rPr>
          <w:rFonts w:ascii="Arial" w:eastAsia="Arial" w:hAnsi="Arial" w:cs="Arial"/>
          <w:b/>
          <w:sz w:val="24"/>
          <w:szCs w:val="24"/>
        </w:rPr>
        <w:t>contributo pubblico</w:t>
      </w:r>
      <w:r>
        <w:rPr>
          <w:rFonts w:ascii="Arial" w:eastAsia="Arial" w:hAnsi="Arial" w:cs="Arial"/>
          <w:sz w:val="24"/>
          <w:szCs w:val="24"/>
        </w:rPr>
        <w:t xml:space="preserve"> necessario a oggi, e, infine, una valutazione della riduzione di tale contributo in funzione della diminuzione dei costi industriali.</w:t>
      </w:r>
    </w:p>
    <w:p w14:paraId="78E4C356" w14:textId="77777777" w:rsidR="000C4DDF" w:rsidRDefault="00000000">
      <w:pPr>
        <w:pBdr>
          <w:bottom w:val="none" w:sz="0" w:space="12" w:color="auto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Il risultato appare evidente</w:t>
      </w:r>
      <w:r>
        <w:rPr>
          <w:rFonts w:ascii="Arial" w:eastAsia="Arial" w:hAnsi="Arial" w:cs="Arial"/>
          <w:sz w:val="24"/>
          <w:szCs w:val="24"/>
        </w:rPr>
        <w:t xml:space="preserve">: con una media del contributo pubblico rispetto al costo dell’intervento del </w:t>
      </w:r>
      <w:r>
        <w:rPr>
          <w:rFonts w:ascii="Arial" w:eastAsia="Arial" w:hAnsi="Arial" w:cs="Arial"/>
          <w:b/>
          <w:sz w:val="24"/>
          <w:szCs w:val="24"/>
        </w:rPr>
        <w:t xml:space="preserve">60% </w:t>
      </w:r>
      <w:r>
        <w:rPr>
          <w:rFonts w:ascii="Arial" w:eastAsia="Arial" w:hAnsi="Arial" w:cs="Arial"/>
          <w:sz w:val="24"/>
          <w:szCs w:val="24"/>
        </w:rPr>
        <w:t xml:space="preserve">iniziale (non distante dagli attuali ‘bonus’ edilizi al 50%), grazie a economie di scala e di apprendimento, saremo in grado in tempi relativamente brevi di condurre interventi di deep retrofit </w:t>
      </w:r>
      <w:r>
        <w:rPr>
          <w:rFonts w:ascii="Arial" w:eastAsia="Arial" w:hAnsi="Arial" w:cs="Arial"/>
          <w:b/>
          <w:sz w:val="24"/>
          <w:szCs w:val="24"/>
        </w:rPr>
        <w:t>senza la necessità</w:t>
      </w:r>
      <w:r>
        <w:rPr>
          <w:rFonts w:ascii="Arial" w:eastAsia="Arial" w:hAnsi="Arial" w:cs="Arial"/>
          <w:sz w:val="24"/>
          <w:szCs w:val="24"/>
        </w:rPr>
        <w:t xml:space="preserve"> di contributo pubblico.</w:t>
      </w:r>
    </w:p>
    <w:p w14:paraId="7B26A011" w14:textId="77777777" w:rsidR="000C4DDF" w:rsidRDefault="00000000">
      <w:pPr>
        <w:pBdr>
          <w:bottom w:val="none" w:sz="0" w:space="12" w:color="auto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È necessario che tutte le componenti della filiera </w:t>
      </w:r>
      <w:r>
        <w:rPr>
          <w:rFonts w:ascii="Arial" w:eastAsia="Arial" w:hAnsi="Arial" w:cs="Arial"/>
          <w:color w:val="222222"/>
          <w:sz w:val="24"/>
          <w:szCs w:val="24"/>
        </w:rPr>
        <w:t>interiorizzino</w:t>
      </w:r>
      <w:r>
        <w:rPr>
          <w:rFonts w:ascii="Arial" w:eastAsia="Arial" w:hAnsi="Arial" w:cs="Arial"/>
          <w:sz w:val="24"/>
          <w:szCs w:val="24"/>
        </w:rPr>
        <w:t xml:space="preserve"> questo schema e si dispongano a collaborare perché ciò si realizzi: gli operatori, i professionisti, le imprese, la finanza e la Pubblica Amministrazione.</w:t>
      </w:r>
    </w:p>
    <w:p w14:paraId="13D7A6B0" w14:textId="77777777" w:rsidR="000C4DDF" w:rsidRDefault="000C4DDF">
      <w:pPr>
        <w:pBdr>
          <w:bottom w:val="none" w:sz="0" w:space="12" w:color="auto"/>
        </w:pBd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32260D0" w14:textId="77777777" w:rsidR="000C4DDF" w:rsidRDefault="00000000">
      <w:pPr>
        <w:pBdr>
          <w:bottom w:val="none" w:sz="0" w:space="12" w:color="auto"/>
        </w:pBdr>
        <w:spacing w:after="0" w:line="276" w:lineRule="auto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Gli ambiti di intervento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 </w:t>
      </w:r>
    </w:p>
    <w:p w14:paraId="68E8F236" w14:textId="77777777" w:rsidR="000C4DDF" w:rsidRDefault="00000000">
      <w:pPr>
        <w:pBdr>
          <w:bottom w:val="none" w:sz="0" w:space="12" w:color="auto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Alla politica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REbuild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propone un duplice binario di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intervento statale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, sia verso la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domanda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sia verso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l’offerta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. Da un lato, spingendo le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imprese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a intraprendere un percorso di innovazione all’interno di un indirizzo più complessivo di ordine collettivo che è la transizione. Dall’altro, ragionando su politiche di sostegno ai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cittadini</w:t>
      </w:r>
      <w:r>
        <w:rPr>
          <w:rFonts w:ascii="Arial" w:eastAsia="Arial" w:hAnsi="Arial" w:cs="Arial"/>
          <w:sz w:val="24"/>
          <w:szCs w:val="24"/>
          <w:highlight w:val="white"/>
        </w:rPr>
        <w:t>, differenziate per reddito e area geografica, così che le ‘case green’ e la sostenibilità in generale siano percepite come leve di benessere per individui e comunità.</w:t>
      </w:r>
    </w:p>
    <w:p w14:paraId="4BA0FBFA" w14:textId="77777777" w:rsidR="000C4DDF" w:rsidRDefault="00000000">
      <w:pPr>
        <w:pBdr>
          <w:bottom w:val="none" w:sz="0" w:space="12" w:color="auto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Il recente (marzo 2024) studio prodotto dallo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Iuav di Venezia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per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l’Osservatorio </w:t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REbuild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sul rapporto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fra retrofit e valore degli immobili ha prodotto in questo senso risultati molto interessanti. Ciò che emerge con chiarezza è che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nelle grandi città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il divario del valore tra gli immobili meno efficienti (classi E, F e G) e quelli con performance moderate (C e D) oscilla tra il 7,7%ca di Milano e Torino e il 4,4%ca di Firenze, mentre il ‘salto’ energetico nelle classi A e B raddoppia la percentuale di premio: 16%ca per Milano e Torino, 9%ca per Firenze.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Più pronunciate, invece, le differenze di valore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a Padova e Mestre (quasi 18%) e Bergamo (12%) nel confronto tra immobili in classe E, F e G rispetto alle più performanti C e D. Anche in questo caso, il balzo nelle classi energetiche più virtuose si concretizza in </w:t>
      </w: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>un sostanziale raddoppio delle percentuali di crescita di valore (Padova e Mestre: 39%; Bergamo: 25%ca).</w:t>
      </w:r>
    </w:p>
    <w:p w14:paraId="79EF710C" w14:textId="77777777" w:rsidR="000C4DDF" w:rsidRDefault="00000000">
      <w:pPr>
        <w:pBdr>
          <w:bottom w:val="none" w:sz="0" w:space="12" w:color="auto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Nelle città di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medie dimensioni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, il divario medio nel prezzo premium tra proprietà ad alta efficienza (classe A) e proprietà a bassa efficienza (classe G) è del 30%, mentre diminuisce al 14% tra proprietà di classe D e classe G. Nelle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città metropolitane</w:t>
      </w:r>
      <w:r>
        <w:rPr>
          <w:rFonts w:ascii="Arial" w:eastAsia="Arial" w:hAnsi="Arial" w:cs="Arial"/>
          <w:sz w:val="24"/>
          <w:szCs w:val="24"/>
          <w:highlight w:val="white"/>
        </w:rPr>
        <w:t>, il divario nel prezzo premium tra proprietà ad alta efficienza (classe A) e proprietà a bassa efficienza (classe G) è del 15%, e diminuisce al 6% tra proprietà di classe D e classe G.</w:t>
      </w:r>
    </w:p>
    <w:p w14:paraId="71D0C148" w14:textId="77777777" w:rsidR="000C4DDF" w:rsidRDefault="00000000">
      <w:pPr>
        <w:pBdr>
          <w:bottom w:val="none" w:sz="0" w:space="12" w:color="auto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I salti di classe energetica differenziano il mercato e sono sempre premiati con balzi di valore, ma con differenze e polarizzazioni di cui tenere conto perché la transizione non appaia come un processo iniquo e socialmente ingiusto ma una opportunità di miglioramento del proprio patrimonio.</w:t>
      </w:r>
    </w:p>
    <w:p w14:paraId="74C38A4E" w14:textId="77777777" w:rsidR="000C4DDF" w:rsidRDefault="000C4DDF">
      <w:pPr>
        <w:pBdr>
          <w:bottom w:val="none" w:sz="0" w:space="12" w:color="auto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C9DC38E" w14:textId="77777777" w:rsidR="000C4DDF" w:rsidRDefault="00000000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Riva del Garda, 9 maggio 2024</w:t>
      </w:r>
    </w:p>
    <w:p w14:paraId="1B63E3BF" w14:textId="77777777" w:rsidR="000C4DDF" w:rsidRDefault="000C4DDF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224E2F6" w14:textId="77777777" w:rsidR="000C4DDF" w:rsidRDefault="000C4DDF"/>
    <w:sectPr w:rsidR="000C4DDF">
      <w:headerReference w:type="default" r:id="rId6"/>
      <w:footerReference w:type="default" r:id="rId7"/>
      <w:pgSz w:w="11906" w:h="16838"/>
      <w:pgMar w:top="1417" w:right="1134" w:bottom="1134" w:left="1134" w:header="85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E20F5" w14:textId="77777777" w:rsidR="001C12B6" w:rsidRDefault="001C12B6">
      <w:pPr>
        <w:spacing w:after="0" w:line="240" w:lineRule="auto"/>
      </w:pPr>
      <w:r>
        <w:separator/>
      </w:r>
    </w:p>
  </w:endnote>
  <w:endnote w:type="continuationSeparator" w:id="0">
    <w:p w14:paraId="2C58DD2F" w14:textId="77777777" w:rsidR="001C12B6" w:rsidRDefault="001C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CBC70" w14:textId="77777777" w:rsidR="000C4DDF" w:rsidRDefault="000C4D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  <w:p w14:paraId="30760A40" w14:textId="77777777" w:rsidR="000C4DD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141" w:hanging="850"/>
    </w:pPr>
    <w:r>
      <w:rPr>
        <w:noProof/>
      </w:rPr>
      <w:drawing>
        <wp:inline distT="114300" distB="114300" distL="114300" distR="114300" wp14:anchorId="15C72521" wp14:editId="13E8289A">
          <wp:extent cx="7138035" cy="600075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11740" b="11739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BC14E" w14:textId="77777777" w:rsidR="001C12B6" w:rsidRDefault="001C12B6">
      <w:pPr>
        <w:spacing w:after="0" w:line="240" w:lineRule="auto"/>
      </w:pPr>
      <w:r>
        <w:separator/>
      </w:r>
    </w:p>
  </w:footnote>
  <w:footnote w:type="continuationSeparator" w:id="0">
    <w:p w14:paraId="262F1398" w14:textId="77777777" w:rsidR="001C12B6" w:rsidRDefault="001C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0568A" w14:textId="77777777" w:rsidR="000C4DD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AABB128" wp14:editId="77B7F2B7">
          <wp:extent cx="2421922" cy="74065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390" b="8389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6E7569B" wp14:editId="53F26986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6A459B" w14:textId="77777777" w:rsidR="000C4DDF" w:rsidRDefault="000C4DD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DF"/>
    <w:rsid w:val="000C4DDF"/>
    <w:rsid w:val="001C12B6"/>
    <w:rsid w:val="005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6488"/>
  <w15:docId w15:val="{9136B860-E3AA-4CBE-84DD-DD5B178F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Bassetti</cp:lastModifiedBy>
  <cp:revision>2</cp:revision>
  <dcterms:created xsi:type="dcterms:W3CDTF">2024-05-09T10:11:00Z</dcterms:created>
  <dcterms:modified xsi:type="dcterms:W3CDTF">2024-05-09T10:12:00Z</dcterms:modified>
</cp:coreProperties>
</file>